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6C" w:rsidRDefault="003D256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268" w:right="2268"/>
        <w:jc w:val="center"/>
        <w:rPr>
          <w:sz w:val="28"/>
          <w:szCs w:val="28"/>
        </w:rPr>
      </w:pPr>
      <w:r>
        <w:rPr>
          <w:sz w:val="28"/>
          <w:szCs w:val="28"/>
        </w:rPr>
        <w:t>APPEL À CANDIDATURES</w:t>
      </w:r>
    </w:p>
    <w:p w:rsidR="00525F6C" w:rsidRDefault="00686DE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2268" w:right="2268"/>
        <w:jc w:val="center"/>
        <w:rPr>
          <w:sz w:val="28"/>
          <w:szCs w:val="28"/>
        </w:rPr>
      </w:pPr>
      <w:r>
        <w:rPr>
          <w:sz w:val="28"/>
          <w:szCs w:val="28"/>
        </w:rPr>
        <w:t>POST DOC 2018/2019</w:t>
      </w:r>
      <w:r w:rsidR="003D256A">
        <w:rPr>
          <w:sz w:val="28"/>
          <w:szCs w:val="28"/>
        </w:rPr>
        <w:t xml:space="preserve"> </w:t>
      </w:r>
    </w:p>
    <w:p w:rsidR="00525F6C" w:rsidRDefault="00525F6C">
      <w:pPr>
        <w:pStyle w:val="Standard"/>
        <w:jc w:val="both"/>
      </w:pPr>
    </w:p>
    <w:p w:rsidR="00525F6C" w:rsidRDefault="003D256A">
      <w:pPr>
        <w:pStyle w:val="Standard"/>
        <w:jc w:val="both"/>
      </w:pPr>
      <w:r>
        <w:t xml:space="preserve">Dans le cadre du programme opérationnel FEDER 2014/2020 et son axe 1 « soutenir les leviers de croissance » le Conseil régional de La Réunion (autorité de gestion du FEDER) a ouvert la possibilité depuis le 07 juillet 2015 de </w:t>
      </w:r>
      <w:r>
        <w:rPr>
          <w:b/>
        </w:rPr>
        <w:t xml:space="preserve">financer le recrutement temporaire (maxi 24 </w:t>
      </w:r>
      <w:proofErr w:type="gramStart"/>
      <w:r>
        <w:rPr>
          <w:b/>
        </w:rPr>
        <w:t>mois)  de</w:t>
      </w:r>
      <w:proofErr w:type="gramEnd"/>
      <w:r>
        <w:rPr>
          <w:b/>
        </w:rPr>
        <w:t xml:space="preserve"> scientifiques de haut niveau (post doctorat) au sein d’organismes publics de recherche telle l’Université de La Réunion</w:t>
      </w:r>
      <w:r>
        <w:t>.</w:t>
      </w:r>
    </w:p>
    <w:p w:rsidR="00525F6C" w:rsidRDefault="003D256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 contenu et le détail du dispositif FEDER 1-16 « renforcer l’effort en RDI des entreprises par le recrutement de jeunes diplômés peuvent être consultés sur le site « www.reunioneurope.org/UE_CI_FEDER_2014_RDTI.asp</w:t>
      </w:r>
    </w:p>
    <w:p w:rsidR="00525F6C" w:rsidRDefault="003D256A">
      <w:pPr>
        <w:pStyle w:val="Standard"/>
        <w:jc w:val="both"/>
      </w:pPr>
      <w:r>
        <w:t>Le dispositif européen ne prévoyant que le financement à 80 % du coût des recrutements agréés par la Commission permanente du Conseil régional, les unités de recherche candidates devaient impérativement justifier jusqu’ici d’un autofinancement de 20% pour bénéficier du dispositif FEDER ce qui apparaissait comme une difficulté souvent bloquante.</w:t>
      </w:r>
    </w:p>
    <w:p w:rsidR="00525F6C" w:rsidRDefault="003D256A">
      <w:pPr>
        <w:pStyle w:val="Standard"/>
        <w:jc w:val="both"/>
      </w:pPr>
      <w:r>
        <w:t>Convaincu de l’intérêt de ce dispositif financier FEDER pour les unités de recherche et la politique scientifique de l’Université, le Conseil d’Administration du 12 décembre 2016 a adopté, sur proposition de son Président, l’installation d’une nouvelle enveloppe de crédits, spécifique, qui permettra de « lever » beaucoup plus facilement les financements européens par un autofinancement de 20%.</w:t>
      </w:r>
    </w:p>
    <w:p w:rsidR="00525F6C" w:rsidRDefault="003D256A">
      <w:pPr>
        <w:pStyle w:val="Standard"/>
        <w:jc w:val="both"/>
      </w:pPr>
      <w:r>
        <w:t>Dans cette perspectiv</w:t>
      </w:r>
      <w:r w:rsidR="00686DE5">
        <w:t xml:space="preserve">e </w:t>
      </w:r>
      <w:r w:rsidR="00686DE5" w:rsidRPr="00546195">
        <w:rPr>
          <w:b/>
          <w:u w:val="single"/>
        </w:rPr>
        <w:t>et dans l’hypothèse du renouvellement de l’enveloppe de crédits dans le BP 2018</w:t>
      </w:r>
      <w:r w:rsidR="00686DE5">
        <w:t>, il est proposé de renouveler</w:t>
      </w:r>
      <w:r>
        <w:t xml:space="preserve"> un app</w:t>
      </w:r>
      <w:r w:rsidR="00686DE5">
        <w:t>el à candidatures « POSTDOC 2018 / 2019</w:t>
      </w:r>
      <w:r>
        <w:t> » qui permettra de sélectionner les meilleurs dossiers en phase avec la stratégie de l’Université et le cadre d’intervention européen et régional ad hoc.</w:t>
      </w:r>
    </w:p>
    <w:p w:rsidR="00525F6C" w:rsidRDefault="003D256A">
      <w:pPr>
        <w:pStyle w:val="Standard"/>
        <w:jc w:val="both"/>
      </w:pPr>
      <w:r>
        <w:t>Cet appel à projet</w:t>
      </w:r>
      <w:r w:rsidR="00686DE5">
        <w:t>s</w:t>
      </w:r>
      <w:r>
        <w:t xml:space="preserve"> conditionnera le dépôt ultérieur des candidatures devant le guichet unique RD&amp;I du Conseil régional et assurera la part d’autofinancement de 20% requise. La décision finale du financement restera de la compétence exclusive de</w:t>
      </w:r>
      <w:r w:rsidR="00686DE5">
        <w:t xml:space="preserve"> l’autorité de gestion du FEDER (le Conseil régional).</w:t>
      </w:r>
    </w:p>
    <w:p w:rsidR="00525F6C" w:rsidRPr="00AC3E92" w:rsidRDefault="00686DE5">
      <w:pPr>
        <w:pStyle w:val="Standard"/>
        <w:jc w:val="both"/>
      </w:pPr>
      <w:r>
        <w:t>Le</w:t>
      </w:r>
      <w:r w:rsidR="003D256A">
        <w:t xml:space="preserve"> dossier de candidature</w:t>
      </w:r>
      <w:r>
        <w:t xml:space="preserve"> sera dématérialisé afin de simplifier la procédure interne. I</w:t>
      </w:r>
      <w:r w:rsidR="003D256A">
        <w:t xml:space="preserve">l conviendra </w:t>
      </w:r>
      <w:r>
        <w:t>de poster le formulaire et les pièces afférentes</w:t>
      </w:r>
      <w:r w:rsidR="003D256A">
        <w:t xml:space="preserve"> </w:t>
      </w:r>
      <w:r w:rsidR="003D256A">
        <w:rPr>
          <w:b/>
          <w:u w:val="single"/>
        </w:rPr>
        <w:t xml:space="preserve">avant le </w:t>
      </w:r>
      <w:r>
        <w:rPr>
          <w:b/>
          <w:u w:val="single"/>
        </w:rPr>
        <w:t>mercredi 25 octobre</w:t>
      </w:r>
      <w:r w:rsidR="003D256A">
        <w:rPr>
          <w:b/>
          <w:u w:val="single"/>
        </w:rPr>
        <w:t xml:space="preserve"> 2017 à 17h</w:t>
      </w:r>
      <w:r>
        <w:t xml:space="preserve"> afin que les projets soient examinés par la Commission Recherche du 7 novembre 2017</w:t>
      </w:r>
      <w:r w:rsidR="003D256A">
        <w:t>.</w:t>
      </w:r>
    </w:p>
    <w:p w:rsidR="00525F6C" w:rsidRDefault="003D256A">
      <w:pPr>
        <w:pStyle w:val="Standard"/>
        <w:jc w:val="both"/>
      </w:pPr>
      <w:r>
        <w:rPr>
          <w:rFonts w:ascii="Wingdings" w:eastAsia="Wingdings" w:hAnsi="Wingdings" w:cs="Wingdings"/>
        </w:rPr>
        <w:t></w:t>
      </w:r>
      <w:r>
        <w:t>La candidature</w:t>
      </w:r>
      <w:r w:rsidR="00686DE5">
        <w:t xml:space="preserve"> dématérialisée</w:t>
      </w:r>
      <w:r>
        <w:t xml:space="preserve"> devra être déposée après que l’équipe candidate ait vérifié la réelle adéquation du projet scientifique avec les critères du dispositif 1.16 du FEDER 2014/2020, en particulier les priorités de la S3 « Spécialisation intelligente des </w:t>
      </w:r>
      <w:proofErr w:type="gramStart"/>
      <w:r>
        <w:t>Régions»</w:t>
      </w:r>
      <w:proofErr w:type="gramEnd"/>
      <w:r>
        <w:t xml:space="preserve">. </w:t>
      </w:r>
    </w:p>
    <w:p w:rsidR="00525F6C" w:rsidRDefault="003D256A">
      <w:pPr>
        <w:pStyle w:val="Standard"/>
        <w:jc w:val="both"/>
      </w:pPr>
      <w:r>
        <w:rPr>
          <w:rFonts w:ascii="Wingdings" w:eastAsia="Wingdings" w:hAnsi="Wingdings" w:cs="Wingdings"/>
        </w:rPr>
        <w:lastRenderedPageBreak/>
        <w:t></w:t>
      </w:r>
      <w:r>
        <w:t>La durée proposée ne pourra être supérieure à 24 mois et devra courir sur des périodes sans interruption.</w:t>
      </w:r>
    </w:p>
    <w:p w:rsidR="00525F6C" w:rsidRDefault="003D256A">
      <w:pPr>
        <w:pStyle w:val="Standard"/>
        <w:jc w:val="both"/>
      </w:pPr>
      <w:r>
        <w:rPr>
          <w:rFonts w:ascii="Wingdings" w:eastAsia="Wingdings" w:hAnsi="Wingdings" w:cs="Wingdings"/>
        </w:rPr>
        <w:t></w:t>
      </w:r>
      <w:r>
        <w:t>Le montant de la demande sera plafonné à</w:t>
      </w:r>
      <w:r w:rsidR="007D00DA">
        <w:t xml:space="preserve"> un coût brut employeur (salaire brut + cotisations patronales) de</w:t>
      </w:r>
      <w:r>
        <w:t xml:space="preserve"> 100.000€ par post-doctorant recruté pour la période maximale (24 mois) </w:t>
      </w:r>
      <w:r w:rsidR="007D00DA">
        <w:t>soit un équivalent de 4.166€ par mois</w:t>
      </w:r>
      <w:r>
        <w:t xml:space="preserve"> au maximum.</w:t>
      </w:r>
    </w:p>
    <w:p w:rsidR="00525F6C" w:rsidRDefault="003D256A">
      <w:pPr>
        <w:pStyle w:val="Standard"/>
        <w:jc w:val="both"/>
      </w:pPr>
      <w:r>
        <w:rPr>
          <w:rFonts w:ascii="Wingdings" w:eastAsia="Wingdings" w:hAnsi="Wingdings" w:cs="Wingdings"/>
        </w:rPr>
        <w:t></w:t>
      </w:r>
      <w:r>
        <w:t xml:space="preserve">Le financement demandé doit reposer sur une clef de calcul 80 % </w:t>
      </w:r>
      <w:proofErr w:type="spellStart"/>
      <w:r>
        <w:t>FEDER</w:t>
      </w:r>
      <w:r w:rsidR="007D00DA">
        <w:t>+Région</w:t>
      </w:r>
      <w:proofErr w:type="spellEnd"/>
      <w:r>
        <w:t xml:space="preserve"> / 20 % </w:t>
      </w:r>
      <w:proofErr w:type="gramStart"/>
      <w:r>
        <w:t>Université .</w:t>
      </w:r>
      <w:proofErr w:type="gramEnd"/>
    </w:p>
    <w:p w:rsidR="00525F6C" w:rsidRDefault="003D256A">
      <w:pPr>
        <w:pStyle w:val="Standard"/>
        <w:jc w:val="both"/>
      </w:pPr>
      <w:r>
        <w:rPr>
          <w:rFonts w:ascii="Wingdings" w:eastAsia="Wingdings" w:hAnsi="Wingdings" w:cs="Wingdings"/>
        </w:rPr>
        <w:t></w:t>
      </w:r>
      <w:r>
        <w:t>Chaque unité de recherche ne peut déposer plus d’une candidature</w:t>
      </w:r>
      <w:r w:rsidR="007D00DA">
        <w:t xml:space="preserve"> au titre de cette campagne 2018/2019</w:t>
      </w:r>
      <w:r w:rsidR="0034627E">
        <w:t>. En cas d’égalité entre les projets ceux déposés par les unités n’ayant pas été financées par le précédent AAC 2017 seront priorisés.</w:t>
      </w:r>
    </w:p>
    <w:p w:rsidR="00525F6C" w:rsidRDefault="003D256A">
      <w:pPr>
        <w:pStyle w:val="Standard"/>
        <w:jc w:val="both"/>
      </w:pPr>
      <w:r>
        <w:rPr>
          <w:b/>
        </w:rPr>
        <w:t>Nombre de doss</w:t>
      </w:r>
      <w:r w:rsidR="007D00DA">
        <w:rPr>
          <w:b/>
        </w:rPr>
        <w:t>iers retenus après sélection : 3</w:t>
      </w:r>
      <w:r w:rsidR="002F7C83">
        <w:rPr>
          <w:b/>
        </w:rPr>
        <w:t xml:space="preserve"> + 1 (liste complémentaire)</w:t>
      </w:r>
      <w:bookmarkStart w:id="0" w:name="_GoBack"/>
      <w:bookmarkEnd w:id="0"/>
    </w:p>
    <w:p w:rsidR="00525F6C" w:rsidRDefault="003D256A">
      <w:pPr>
        <w:pStyle w:val="Standard"/>
        <w:jc w:val="both"/>
      </w:pPr>
      <w:r>
        <w:t xml:space="preserve">Le dossier </w:t>
      </w:r>
      <w:r w:rsidR="007D00DA">
        <w:t xml:space="preserve">dématérialisé </w:t>
      </w:r>
      <w:r>
        <w:t>de candidature devra comporter au impérativement les développements suivants :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Nom du porteur de projet (directeur / directrice d’unité)</w:t>
      </w:r>
    </w:p>
    <w:p w:rsidR="00FB2F1A" w:rsidRDefault="00FB2F1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Description du projet</w:t>
      </w:r>
      <w:r w:rsidR="004C7263">
        <w:t xml:space="preserve"> scientifique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Fiche de poste / durée du recrutement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Présentation de l’équipe de recherche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Cv détaillé du post-doc</w:t>
      </w:r>
      <w:r w:rsidR="007D00DA">
        <w:t xml:space="preserve"> (mentionnant la période d’étude à La Réunion)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Description des capacités d’encadrement scientifique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Description de mise à disposition d’équipements scientifiques nécessaires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Convergence avec les objectifs de la stratégie de recherche de l’Université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Points d’adéquation avec la stratégie « S3 » citée dans le dispositif financier FEDER 1.16</w:t>
      </w:r>
    </w:p>
    <w:p w:rsidR="00525F6C" w:rsidRDefault="003D256A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Modalités envisagées pour favoriser l’insertion professionnelle ultérieure du post-doctorant</w:t>
      </w:r>
    </w:p>
    <w:p w:rsidR="00525F6C" w:rsidRDefault="003D256A" w:rsidP="00AC3E92">
      <w:pPr>
        <w:pStyle w:val="Paragraphedeliste"/>
        <w:numPr>
          <w:ilvl w:val="0"/>
          <w:numId w:val="1"/>
        </w:numPr>
        <w:spacing w:after="0"/>
        <w:ind w:left="697" w:hanging="357"/>
        <w:jc w:val="both"/>
      </w:pPr>
      <w:r>
        <w:t>Fiche de simulation de salaire (cf. intranet)</w:t>
      </w:r>
    </w:p>
    <w:p w:rsidR="00AC3E92" w:rsidRDefault="00AC3E92" w:rsidP="00AC3E92">
      <w:pPr>
        <w:pStyle w:val="Paragraphedeliste"/>
        <w:spacing w:after="0"/>
        <w:ind w:left="697"/>
        <w:jc w:val="both"/>
      </w:pPr>
    </w:p>
    <w:p w:rsidR="00AC3E92" w:rsidRDefault="00AC3E92" w:rsidP="00AC3E92">
      <w:pPr>
        <w:pStyle w:val="Paragraphedeliste"/>
        <w:spacing w:after="0"/>
        <w:ind w:left="697"/>
        <w:jc w:val="both"/>
      </w:pPr>
    </w:p>
    <w:p w:rsidR="00525F6C" w:rsidRDefault="003D256A">
      <w:pPr>
        <w:pStyle w:val="Standard"/>
        <w:jc w:val="both"/>
      </w:pPr>
      <w:r>
        <w:t>Une trame de candidature vous est proposée en annexe.</w:t>
      </w:r>
    </w:p>
    <w:p w:rsidR="00525F6C" w:rsidRDefault="003D256A">
      <w:pPr>
        <w:pStyle w:val="Standard"/>
        <w:jc w:val="both"/>
        <w:rPr>
          <w:b/>
        </w:rPr>
      </w:pPr>
      <w:r>
        <w:rPr>
          <w:b/>
        </w:rPr>
        <w:t>Notation :</w:t>
      </w:r>
    </w:p>
    <w:p w:rsidR="00525F6C" w:rsidRDefault="003D256A">
      <w:pPr>
        <w:pStyle w:val="Standard"/>
        <w:spacing w:after="0"/>
        <w:jc w:val="both"/>
      </w:pPr>
      <w:r>
        <w:rPr>
          <w:rFonts w:ascii="Wingdings" w:eastAsia="Wingdings" w:hAnsi="Wingdings" w:cs="Wingdings"/>
        </w:rPr>
        <w:t></w:t>
      </w:r>
      <w:r w:rsidR="00AC3E92">
        <w:t xml:space="preserve"> Les points 2</w:t>
      </w:r>
      <w:r>
        <w:t>,5 &amp; 6 seront notés chacun sur 5</w:t>
      </w:r>
    </w:p>
    <w:p w:rsidR="00525F6C" w:rsidRDefault="003D256A">
      <w:pPr>
        <w:pStyle w:val="Standard"/>
        <w:spacing w:after="0"/>
        <w:jc w:val="both"/>
      </w:pPr>
      <w:r>
        <w:rPr>
          <w:rFonts w:ascii="Wingdings" w:eastAsia="Wingdings" w:hAnsi="Wingdings" w:cs="Wingdings"/>
        </w:rPr>
        <w:t></w:t>
      </w:r>
      <w:r>
        <w:t xml:space="preserve"> Le point 7 sur 10</w:t>
      </w:r>
    </w:p>
    <w:p w:rsidR="00525F6C" w:rsidRDefault="003D256A">
      <w:pPr>
        <w:pStyle w:val="Standard"/>
        <w:spacing w:after="0"/>
        <w:jc w:val="both"/>
      </w:pPr>
      <w:r>
        <w:rPr>
          <w:rFonts w:ascii="Wingdings" w:eastAsia="Wingdings" w:hAnsi="Wingdings" w:cs="Wingdings"/>
        </w:rPr>
        <w:t></w:t>
      </w:r>
      <w:r>
        <w:t xml:space="preserve"> Les points 8 &amp; 9 sur 20</w:t>
      </w:r>
      <w:r>
        <w:tab/>
      </w:r>
      <w:r>
        <w:tab/>
      </w:r>
      <w:r>
        <w:tab/>
      </w:r>
      <w:r>
        <w:tab/>
      </w:r>
      <w:r>
        <w:tab/>
        <w:t>Le total atteignant 65 points</w:t>
      </w:r>
    </w:p>
    <w:p w:rsidR="00525F6C" w:rsidRDefault="00525F6C">
      <w:pPr>
        <w:pStyle w:val="Standard"/>
        <w:jc w:val="both"/>
      </w:pPr>
    </w:p>
    <w:sectPr w:rsidR="00525F6C">
      <w:headerReference w:type="default" r:id="rId7"/>
      <w:footerReference w:type="default" r:id="rId8"/>
      <w:pgSz w:w="11906" w:h="16838"/>
      <w:pgMar w:top="2846" w:right="1417" w:bottom="1971" w:left="1417" w:header="1417" w:footer="141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84" w:rsidRDefault="003D256A">
      <w:pPr>
        <w:spacing w:after="0" w:line="240" w:lineRule="auto"/>
      </w:pPr>
      <w:r>
        <w:separator/>
      </w:r>
    </w:p>
  </w:endnote>
  <w:endnote w:type="continuationSeparator" w:id="0">
    <w:p w:rsidR="006B2B84" w:rsidRDefault="003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6C" w:rsidRDefault="00525F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84" w:rsidRDefault="003D256A">
      <w:pPr>
        <w:spacing w:after="0" w:line="240" w:lineRule="auto"/>
      </w:pPr>
      <w:r>
        <w:separator/>
      </w:r>
    </w:p>
  </w:footnote>
  <w:footnote w:type="continuationSeparator" w:id="0">
    <w:p w:rsidR="006B2B84" w:rsidRDefault="003D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6C" w:rsidRDefault="003D256A">
    <w:pPr>
      <w:pStyle w:val="En-tte"/>
    </w:pPr>
    <w:r>
      <w:rPr>
        <w:noProof/>
        <w:lang w:eastAsia="fr-FR"/>
      </w:rPr>
      <w:drawing>
        <wp:inline distT="0" distB="0" distL="0" distR="0">
          <wp:extent cx="804545" cy="7277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F35"/>
    <w:multiLevelType w:val="multilevel"/>
    <w:tmpl w:val="0B00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8D21B8"/>
    <w:multiLevelType w:val="multilevel"/>
    <w:tmpl w:val="A87C0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F6C"/>
    <w:rsid w:val="002F7C83"/>
    <w:rsid w:val="0034627E"/>
    <w:rsid w:val="003D256A"/>
    <w:rsid w:val="004C7263"/>
    <w:rsid w:val="00525F6C"/>
    <w:rsid w:val="00546195"/>
    <w:rsid w:val="00686DE5"/>
    <w:rsid w:val="006B2B84"/>
    <w:rsid w:val="007C000C"/>
    <w:rsid w:val="007D00DA"/>
    <w:rsid w:val="00AC3E92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0740"/>
  <w15:docId w15:val="{213F0C79-A916-46B8-815B-6FAC918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eastAsia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xtedebulles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Paragraphedeliste">
    <w:name w:val="List Paragraph"/>
    <w:basedOn w:val="Standard"/>
    <w:qFormat/>
    <w:pPr>
      <w:ind w:left="720"/>
    </w:pPr>
  </w:style>
  <w:style w:type="paragraph" w:customStyle="1" w:styleId="Contenudecadre">
    <w:name w:val="Contenu de cadre"/>
    <w:basedOn w:val="Standard"/>
    <w:qFormat/>
  </w:style>
  <w:style w:type="paragraph" w:styleId="Commentaire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Thomas Joseph Krejbich</cp:lastModifiedBy>
  <cp:revision>7</cp:revision>
  <dcterms:created xsi:type="dcterms:W3CDTF">2017-08-28T09:07:00Z</dcterms:created>
  <dcterms:modified xsi:type="dcterms:W3CDTF">2017-09-01T13:19:00Z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